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1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color w:val="000000"/>
          <w:sz w:val="32"/>
          <w:szCs w:val="32"/>
          <w:shd w:val="clear" w:color="auto" w:fill="FFFFFF"/>
        </w:rPr>
        <w:t>支</w:t>
      </w:r>
      <w:r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黑体" w:eastAsia="黑体" w:cs="Times New Roman"/>
          <w:color w:val="000000"/>
          <w:sz w:val="32"/>
          <w:szCs w:val="32"/>
          <w:shd w:val="clear" w:color="auto" w:fill="FFFFFF"/>
        </w:rPr>
        <w:t>持</w:t>
      </w:r>
      <w:r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黑体" w:eastAsia="黑体" w:cs="Times New Roman"/>
          <w:color w:val="000000"/>
          <w:sz w:val="32"/>
          <w:szCs w:val="32"/>
          <w:shd w:val="clear" w:color="auto" w:fill="FFFFFF"/>
        </w:rPr>
        <w:t>领</w:t>
      </w:r>
      <w:r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黑体" w:eastAsia="黑体" w:cs="Times New Roman"/>
          <w:color w:val="000000"/>
          <w:sz w:val="32"/>
          <w:szCs w:val="32"/>
          <w:shd w:val="clear" w:color="auto" w:fill="FFFFFF"/>
        </w:rPr>
        <w:t>域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高新技术领域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汽车关键零部件及总成制造技术与产品研发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汽车关键零部件轻量化技术研发与应用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新能源汽车及关键零部件、总成研发与产业化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新型材料在汽车零部件产品中的研发与应用</w:t>
      </w:r>
    </w:p>
    <w:p>
      <w:pPr>
        <w:pStyle w:val="2"/>
        <w:spacing w:line="600" w:lineRule="exact"/>
        <w:ind w:firstLine="640" w:firstLineChars="200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智能检测及制造装备研发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仿宋_GB2312" w:eastAsia="仿宋_GB2312" w:cs="Times New Roman"/>
          <w:color w:val="000000"/>
          <w:kern w:val="0"/>
          <w:sz w:val="32"/>
          <w:szCs w:val="32"/>
          <w:lang w:val="en-US"/>
        </w:rPr>
        <w:t>6.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  <w:t>机械设计制造及其自动化研究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6.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工业机器人系统、智能工厂、智能生产线开发与应用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数字经济</w:t>
      </w:r>
      <w:r>
        <w:rPr>
          <w:rFonts w:ascii="Times New Roman" w:hAnsi="仿宋_GB2312" w:eastAsia="仿宋_GB2312" w:cs="Times New Roman"/>
          <w:bCs/>
          <w:color w:val="000000"/>
          <w:kern w:val="0"/>
          <w:sz w:val="32"/>
          <w:szCs w:val="32"/>
        </w:rPr>
        <w:t>、互联网技术、大数据技术研发与应用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二、社会发展领域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1.重大、多发、罕见、慢性、流行性、职业疾病等关键防治技术与应用研究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2.十堰中药材品质提升及中医药现代化研究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3.创新药物研究与精准医疗领域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4.防灾减灾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、气象技术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及公共安全保障关键技术研究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5.生态环境保护、修复、治理关键材料、技术及设备研发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6.废弃物高效利用及塑料可降解替代产品研发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7.碳达峰碳中和技术研究与应用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三、农业领域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动植物新品种选育技术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生物技术与产品技术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农产品精深加工与储运技术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本地特色水产养殖品种人工繁育及养殖技术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农作物病虫害绿色防控技术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农业生态环境修复及治理技术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农机装备研发技术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农产品质量安全技术</w:t>
      </w:r>
    </w:p>
    <w:p>
      <w:pPr>
        <w:pStyle w:val="2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Hans"/>
        </w:rPr>
        <w:t>智慧乡村技术</w:t>
      </w:r>
    </w:p>
    <w:p>
      <w:pPr>
        <w:spacing w:line="600" w:lineRule="exact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黑体" w:eastAsia="黑体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FF004B"/>
    <w:multiLevelType w:val="singleLevel"/>
    <w:tmpl w:val="A5FF00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WE2Y2EwY2U2ZTEyMDFjMjIyYTNmNTU2OGVjN2EifQ=="/>
  </w:docVars>
  <w:rsids>
    <w:rsidRoot w:val="3C867485"/>
    <w:rsid w:val="3C8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2022-06-21T08:34:00Z</dcterms:created>
  <dc:creator>Administrator</dc:creator>
  <cp:lastModifiedBy>Administrator</cp:lastModifiedBy>
  <dcterms:modified xsi:type="dcterms:W3CDTF">2022-06-21T08:34:15Z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38C61A93CAC8476E94957D46681C6011</vt:lpwstr>
  </property>
</Properties>
</file>